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4A08" w14:textId="77777777" w:rsidR="003B7CF9" w:rsidRPr="003B7CF9" w:rsidRDefault="003B7CF9" w:rsidP="003B7CF9">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3B7CF9">
        <w:rPr>
          <w:rFonts w:ascii="Verdana" w:eastAsia="Times New Roman" w:hAnsi="Verdana" w:cs="Times New Roman"/>
          <w:color w:val="CC3300"/>
          <w:kern w:val="36"/>
          <w:sz w:val="36"/>
          <w:szCs w:val="36"/>
          <w:lang w:eastAsia="fr-BE"/>
        </w:rPr>
        <w:t>Yuan &amp; dollar en hausse : le LME apprécie</w:t>
      </w:r>
    </w:p>
    <w:p w14:paraId="62418251" w14:textId="1E7492DA" w:rsidR="003B7CF9" w:rsidRPr="003B7CF9" w:rsidRDefault="003B7CF9" w:rsidP="003B7CF9">
      <w:pPr>
        <w:shd w:val="clear" w:color="auto" w:fill="FFFFFF"/>
        <w:spacing w:before="75" w:after="75" w:line="240" w:lineRule="auto"/>
        <w:jc w:val="both"/>
        <w:rPr>
          <w:rFonts w:ascii="Verdana" w:eastAsia="Times New Roman" w:hAnsi="Verdana" w:cs="Times New Roman"/>
          <w:i/>
          <w:iCs/>
          <w:color w:val="000000"/>
          <w:sz w:val="23"/>
          <w:szCs w:val="23"/>
          <w:lang w:eastAsia="fr-BE"/>
        </w:rPr>
      </w:pPr>
      <w:r w:rsidRPr="003B7CF9">
        <w:rPr>
          <w:rFonts w:ascii="Verdana" w:eastAsia="Times New Roman" w:hAnsi="Verdana" w:cs="Times New Roman"/>
          <w:i/>
          <w:iCs/>
          <w:color w:val="000000"/>
          <w:sz w:val="23"/>
          <w:szCs w:val="23"/>
          <w:lang w:eastAsia="fr-BE"/>
        </w:rPr>
        <w:t xml:space="preserve"> </w:t>
      </w:r>
    </w:p>
    <w:p w14:paraId="002E5A51" w14:textId="77777777" w:rsidR="003B7CF9" w:rsidRPr="003B7CF9" w:rsidRDefault="003B7CF9" w:rsidP="003B7CF9">
      <w:pPr>
        <w:shd w:val="clear" w:color="auto" w:fill="FFFFFF"/>
        <w:spacing w:before="75" w:after="75" w:line="240" w:lineRule="auto"/>
        <w:jc w:val="both"/>
        <w:rPr>
          <w:rFonts w:ascii="Verdana" w:eastAsia="Times New Roman" w:hAnsi="Verdana" w:cs="Times New Roman"/>
          <w:color w:val="000000"/>
          <w:sz w:val="23"/>
          <w:szCs w:val="23"/>
          <w:lang w:eastAsia="fr-BE"/>
        </w:rPr>
      </w:pPr>
      <w:r w:rsidRPr="003B7CF9">
        <w:rPr>
          <w:rFonts w:ascii="Verdana" w:eastAsia="Times New Roman" w:hAnsi="Verdana" w:cs="Times New Roman"/>
          <w:b/>
          <w:bCs/>
          <w:color w:val="000000"/>
          <w:sz w:val="23"/>
          <w:szCs w:val="23"/>
          <w:lang w:eastAsia="fr-BE"/>
        </w:rPr>
        <w:t xml:space="preserve">Le complexe se montre assez sensible aux évolutions du dollar, qui continue de faire très bonne figure face aux principales devises internationales. Sur le marché des changes, le yuan a atteint un plus haut de cinq mois — une façon sans doute de saluer les échanges qui se sont tenus entre le président américain Joe Biden et son homologue chinois Xi Jinping. Bien qu’aucune percée majeure </w:t>
      </w:r>
      <w:proofErr w:type="gramStart"/>
      <w:r w:rsidRPr="003B7CF9">
        <w:rPr>
          <w:rFonts w:ascii="Verdana" w:eastAsia="Times New Roman" w:hAnsi="Verdana" w:cs="Times New Roman"/>
          <w:b/>
          <w:bCs/>
          <w:color w:val="000000"/>
          <w:sz w:val="23"/>
          <w:szCs w:val="23"/>
          <w:lang w:eastAsia="fr-BE"/>
        </w:rPr>
        <w:t>n’était</w:t>
      </w:r>
      <w:proofErr w:type="gramEnd"/>
      <w:r w:rsidRPr="003B7CF9">
        <w:rPr>
          <w:rFonts w:ascii="Verdana" w:eastAsia="Times New Roman" w:hAnsi="Verdana" w:cs="Times New Roman"/>
          <w:b/>
          <w:bCs/>
          <w:color w:val="000000"/>
          <w:sz w:val="23"/>
          <w:szCs w:val="23"/>
          <w:lang w:eastAsia="fr-BE"/>
        </w:rPr>
        <w:t xml:space="preserve"> attendue (sur les droits de l’homme, Taïwan et la pandémie notamment), le fait que Pékin et Washington aient souligné leur responsabilité pour éviter tout conflit, et plaidé pour une meilleure « </w:t>
      </w:r>
      <w:r w:rsidRPr="003B7CF9">
        <w:rPr>
          <w:rFonts w:ascii="Verdana" w:eastAsia="Times New Roman" w:hAnsi="Verdana" w:cs="Times New Roman"/>
          <w:b/>
          <w:bCs/>
          <w:i/>
          <w:iCs/>
          <w:color w:val="000000"/>
          <w:sz w:val="23"/>
          <w:szCs w:val="23"/>
          <w:lang w:eastAsia="fr-BE"/>
        </w:rPr>
        <w:t>communication </w:t>
      </w:r>
      <w:r w:rsidRPr="003B7CF9">
        <w:rPr>
          <w:rFonts w:ascii="Verdana" w:eastAsia="Times New Roman" w:hAnsi="Verdana" w:cs="Times New Roman"/>
          <w:b/>
          <w:bCs/>
          <w:color w:val="000000"/>
          <w:sz w:val="23"/>
          <w:szCs w:val="23"/>
          <w:lang w:eastAsia="fr-BE"/>
        </w:rPr>
        <w:t>», a été plutôt bien reçu par les marchés.</w:t>
      </w:r>
    </w:p>
    <w:p w14:paraId="0D4B96C4" w14:textId="77777777" w:rsidR="003B7CF9" w:rsidRPr="003B7CF9" w:rsidRDefault="003B7CF9" w:rsidP="003B7CF9">
      <w:pPr>
        <w:shd w:val="clear" w:color="auto" w:fill="FFFFFF"/>
        <w:spacing w:before="75" w:after="75" w:line="240" w:lineRule="auto"/>
        <w:jc w:val="both"/>
        <w:rPr>
          <w:rFonts w:ascii="Verdana" w:eastAsia="Times New Roman" w:hAnsi="Verdana" w:cs="Times New Roman"/>
          <w:color w:val="000000"/>
          <w:sz w:val="23"/>
          <w:szCs w:val="23"/>
          <w:lang w:eastAsia="fr-BE"/>
        </w:rPr>
      </w:pPr>
      <w:r w:rsidRPr="003B7CF9">
        <w:rPr>
          <w:rFonts w:ascii="Verdana" w:eastAsia="Times New Roman" w:hAnsi="Verdana" w:cs="Times New Roman"/>
          <w:color w:val="000000"/>
          <w:sz w:val="23"/>
          <w:szCs w:val="23"/>
          <w:lang w:eastAsia="fr-BE"/>
        </w:rPr>
        <w:t xml:space="preserve">Le cours de l'aluminium a progressé ces derniers jours sur le London </w:t>
      </w:r>
      <w:proofErr w:type="spellStart"/>
      <w:r w:rsidRPr="003B7CF9">
        <w:rPr>
          <w:rFonts w:ascii="Verdana" w:eastAsia="Times New Roman" w:hAnsi="Verdana" w:cs="Times New Roman"/>
          <w:color w:val="000000"/>
          <w:sz w:val="23"/>
          <w:szCs w:val="23"/>
          <w:lang w:eastAsia="fr-BE"/>
        </w:rPr>
        <w:t>Metal</w:t>
      </w:r>
      <w:proofErr w:type="spellEnd"/>
      <w:r w:rsidRPr="003B7CF9">
        <w:rPr>
          <w:rFonts w:ascii="Verdana" w:eastAsia="Times New Roman" w:hAnsi="Verdana" w:cs="Times New Roman"/>
          <w:color w:val="000000"/>
          <w:sz w:val="23"/>
          <w:szCs w:val="23"/>
          <w:lang w:eastAsia="fr-BE"/>
        </w:rPr>
        <w:t xml:space="preserve"> Exchange (LME), soutenu par les inquiétudes qui pèsent toujours sur l'offre, notamment en Chine. «</w:t>
      </w:r>
      <w:r w:rsidRPr="003B7CF9">
        <w:rPr>
          <w:rFonts w:ascii="Verdana" w:eastAsia="Times New Roman" w:hAnsi="Verdana" w:cs="Times New Roman"/>
          <w:i/>
          <w:iCs/>
          <w:color w:val="000000"/>
          <w:sz w:val="23"/>
          <w:szCs w:val="23"/>
          <w:lang w:eastAsia="fr-BE"/>
        </w:rPr>
        <w:t> Le regain d'inquiétude du côté de l'offre a donné un coup de fouet au cours de l'aluminium</w:t>
      </w:r>
      <w:r w:rsidRPr="003B7CF9">
        <w:rPr>
          <w:rFonts w:ascii="Verdana" w:eastAsia="Times New Roman" w:hAnsi="Verdana" w:cs="Times New Roman"/>
          <w:color w:val="000000"/>
          <w:sz w:val="23"/>
          <w:szCs w:val="23"/>
          <w:lang w:eastAsia="fr-BE"/>
        </w:rPr>
        <w:t xml:space="preserve"> », explique Daniel </w:t>
      </w:r>
      <w:proofErr w:type="spellStart"/>
      <w:r w:rsidRPr="003B7CF9">
        <w:rPr>
          <w:rFonts w:ascii="Verdana" w:eastAsia="Times New Roman" w:hAnsi="Verdana" w:cs="Times New Roman"/>
          <w:color w:val="000000"/>
          <w:sz w:val="23"/>
          <w:szCs w:val="23"/>
          <w:lang w:eastAsia="fr-BE"/>
        </w:rPr>
        <w:t>Briesemann</w:t>
      </w:r>
      <w:proofErr w:type="spellEnd"/>
      <w:r w:rsidRPr="003B7CF9">
        <w:rPr>
          <w:rFonts w:ascii="Verdana" w:eastAsia="Times New Roman" w:hAnsi="Verdana" w:cs="Times New Roman"/>
          <w:color w:val="000000"/>
          <w:sz w:val="23"/>
          <w:szCs w:val="23"/>
          <w:lang w:eastAsia="fr-BE"/>
        </w:rPr>
        <w:t xml:space="preserve">, de Commerzbank. L'analyste s'appuie sur un rapport de S&amp;P Global </w:t>
      </w:r>
      <w:proofErr w:type="spellStart"/>
      <w:r w:rsidRPr="003B7CF9">
        <w:rPr>
          <w:rFonts w:ascii="Verdana" w:eastAsia="Times New Roman" w:hAnsi="Verdana" w:cs="Times New Roman"/>
          <w:color w:val="000000"/>
          <w:sz w:val="23"/>
          <w:szCs w:val="23"/>
          <w:lang w:eastAsia="fr-BE"/>
        </w:rPr>
        <w:t>Platts</w:t>
      </w:r>
      <w:proofErr w:type="spellEnd"/>
      <w:r w:rsidRPr="003B7CF9">
        <w:rPr>
          <w:rFonts w:ascii="Verdana" w:eastAsia="Times New Roman" w:hAnsi="Verdana" w:cs="Times New Roman"/>
          <w:color w:val="000000"/>
          <w:sz w:val="23"/>
          <w:szCs w:val="23"/>
          <w:lang w:eastAsia="fr-BE"/>
        </w:rPr>
        <w:t xml:space="preserve"> ne signalant « </w:t>
      </w:r>
      <w:r w:rsidRPr="003B7CF9">
        <w:rPr>
          <w:rFonts w:ascii="Verdana" w:eastAsia="Times New Roman" w:hAnsi="Verdana" w:cs="Times New Roman"/>
          <w:i/>
          <w:iCs/>
          <w:color w:val="000000"/>
          <w:sz w:val="23"/>
          <w:szCs w:val="23"/>
          <w:lang w:eastAsia="fr-BE"/>
        </w:rPr>
        <w:t>pas de signe de remise en service des usines précédemment arrêtées » dans le pays mais aussi « une production potentiellement réduite en début d'année prochaine afin de garantir un air aussi pur que possible pour les Jeux olympiques d'hiver de Pékin</w:t>
      </w:r>
      <w:r w:rsidRPr="003B7CF9">
        <w:rPr>
          <w:rFonts w:ascii="Verdana" w:eastAsia="Times New Roman" w:hAnsi="Verdana" w:cs="Times New Roman"/>
          <w:color w:val="000000"/>
          <w:sz w:val="23"/>
          <w:szCs w:val="23"/>
          <w:lang w:eastAsia="fr-BE"/>
        </w:rPr>
        <w:t> », prévus en février.</w:t>
      </w:r>
    </w:p>
    <w:p w14:paraId="27E39FAB" w14:textId="77777777" w:rsidR="003B7CF9" w:rsidRPr="003B7CF9" w:rsidRDefault="003B7CF9" w:rsidP="003B7CF9">
      <w:pPr>
        <w:shd w:val="clear" w:color="auto" w:fill="FFFFFF"/>
        <w:spacing w:before="75" w:after="75" w:line="240" w:lineRule="auto"/>
        <w:jc w:val="both"/>
        <w:rPr>
          <w:rFonts w:ascii="Verdana" w:eastAsia="Times New Roman" w:hAnsi="Verdana" w:cs="Times New Roman"/>
          <w:color w:val="000000"/>
          <w:sz w:val="23"/>
          <w:szCs w:val="23"/>
          <w:lang w:eastAsia="fr-BE"/>
        </w:rPr>
      </w:pPr>
      <w:r w:rsidRPr="003B7CF9">
        <w:rPr>
          <w:rFonts w:ascii="Verdana" w:eastAsia="Times New Roman" w:hAnsi="Verdana" w:cs="Times New Roman"/>
          <w:color w:val="000000"/>
          <w:sz w:val="23"/>
          <w:szCs w:val="23"/>
          <w:lang w:eastAsia="fr-BE"/>
        </w:rPr>
        <w:t xml:space="preserve">Les prix élevés de l'électricité en Chine forcent depuis plusieurs mois les </w:t>
      </w:r>
      <w:proofErr w:type="gramStart"/>
      <w:r w:rsidRPr="003B7CF9">
        <w:rPr>
          <w:rFonts w:ascii="Verdana" w:eastAsia="Times New Roman" w:hAnsi="Verdana" w:cs="Times New Roman"/>
          <w:color w:val="000000"/>
          <w:sz w:val="23"/>
          <w:szCs w:val="23"/>
          <w:lang w:eastAsia="fr-BE"/>
        </w:rPr>
        <w:t>fonderies</w:t>
      </w:r>
      <w:proofErr w:type="gramEnd"/>
      <w:r w:rsidRPr="003B7CF9">
        <w:rPr>
          <w:rFonts w:ascii="Verdana" w:eastAsia="Times New Roman" w:hAnsi="Verdana" w:cs="Times New Roman"/>
          <w:color w:val="000000"/>
          <w:sz w:val="23"/>
          <w:szCs w:val="23"/>
          <w:lang w:eastAsia="fr-BE"/>
        </w:rPr>
        <w:t xml:space="preserve"> à limiter leur production, un motif de tension pour le marché. Les prix à la production dans le pays ont d'ailleurs progressé en octobre à un niveau inédit en 26 ans, selon des chiffres officiels publiés mercredi 10 novembre. La production moyenne quotidienne d’aluminium en Chine est tombée en octobre à son plus bas en plus d’un an : 100.968 tonnes le mois dernier, pour 102.500 tonnes le mois précédent. Soit 3,13 millions de tonnes au total.</w:t>
      </w:r>
    </w:p>
    <w:p w14:paraId="62712965" w14:textId="77777777" w:rsidR="003B7CF9" w:rsidRPr="003B7CF9" w:rsidRDefault="003B7CF9" w:rsidP="003B7CF9">
      <w:pPr>
        <w:shd w:val="clear" w:color="auto" w:fill="FFFFFF"/>
        <w:spacing w:before="75" w:after="75" w:line="240" w:lineRule="auto"/>
        <w:jc w:val="both"/>
        <w:rPr>
          <w:rFonts w:ascii="Verdana" w:eastAsia="Times New Roman" w:hAnsi="Verdana" w:cs="Times New Roman"/>
          <w:color w:val="000000"/>
          <w:sz w:val="23"/>
          <w:szCs w:val="23"/>
          <w:lang w:eastAsia="fr-BE"/>
        </w:rPr>
      </w:pPr>
      <w:r w:rsidRPr="003B7CF9">
        <w:rPr>
          <w:rFonts w:ascii="Verdana" w:eastAsia="Times New Roman" w:hAnsi="Verdana" w:cs="Times New Roman"/>
          <w:color w:val="000000"/>
          <w:sz w:val="23"/>
          <w:szCs w:val="23"/>
          <w:lang w:eastAsia="fr-BE"/>
        </w:rPr>
        <w:t xml:space="preserve">Sur une semaine, la progression du cours </w:t>
      </w:r>
      <w:proofErr w:type="spellStart"/>
      <w:r w:rsidRPr="003B7CF9">
        <w:rPr>
          <w:rFonts w:ascii="Verdana" w:eastAsia="Times New Roman" w:hAnsi="Verdana" w:cs="Times New Roman"/>
          <w:color w:val="000000"/>
          <w:sz w:val="23"/>
          <w:szCs w:val="23"/>
          <w:lang w:eastAsia="fr-BE"/>
        </w:rPr>
        <w:t>lowest</w:t>
      </w:r>
      <w:proofErr w:type="spellEnd"/>
      <w:r w:rsidRPr="003B7CF9">
        <w:rPr>
          <w:rFonts w:ascii="Verdana" w:eastAsia="Times New Roman" w:hAnsi="Verdana" w:cs="Times New Roman"/>
          <w:color w:val="000000"/>
          <w:sz w:val="23"/>
          <w:szCs w:val="23"/>
          <w:lang w:eastAsia="fr-BE"/>
        </w:rPr>
        <w:t xml:space="preserve"> LME (LLME) de l’aluminium </w:t>
      </w:r>
      <w:proofErr w:type="gramStart"/>
      <w:r w:rsidRPr="003B7CF9">
        <w:rPr>
          <w:rFonts w:ascii="Verdana" w:eastAsia="Times New Roman" w:hAnsi="Verdana" w:cs="Times New Roman"/>
          <w:color w:val="000000"/>
          <w:sz w:val="23"/>
          <w:szCs w:val="23"/>
          <w:lang w:eastAsia="fr-BE"/>
        </w:rPr>
        <w:t>reste  toutefois</w:t>
      </w:r>
      <w:proofErr w:type="gramEnd"/>
      <w:r w:rsidRPr="003B7CF9">
        <w:rPr>
          <w:rFonts w:ascii="Verdana" w:eastAsia="Times New Roman" w:hAnsi="Verdana" w:cs="Times New Roman"/>
          <w:color w:val="000000"/>
          <w:sz w:val="23"/>
          <w:szCs w:val="23"/>
          <w:lang w:eastAsia="fr-BE"/>
        </w:rPr>
        <w:t xml:space="preserve"> assez marginale, à 2.620 dollars (+20)</w:t>
      </w:r>
    </w:p>
    <w:p w14:paraId="2A4DE0D2" w14:textId="77777777" w:rsidR="003B7CF9" w:rsidRPr="003B7CF9" w:rsidRDefault="003B7CF9" w:rsidP="003B7CF9">
      <w:pPr>
        <w:shd w:val="clear" w:color="auto" w:fill="FFFFFF"/>
        <w:spacing w:before="75" w:after="75" w:line="240" w:lineRule="auto"/>
        <w:jc w:val="both"/>
        <w:rPr>
          <w:rFonts w:ascii="Verdana" w:eastAsia="Times New Roman" w:hAnsi="Verdana" w:cs="Times New Roman"/>
          <w:color w:val="000000"/>
          <w:sz w:val="23"/>
          <w:szCs w:val="23"/>
          <w:lang w:eastAsia="fr-BE"/>
        </w:rPr>
      </w:pPr>
      <w:r w:rsidRPr="003B7CF9">
        <w:rPr>
          <w:rFonts w:ascii="Verdana" w:eastAsia="Times New Roman" w:hAnsi="Verdana" w:cs="Times New Roman"/>
          <w:color w:val="000000"/>
          <w:sz w:val="23"/>
          <w:szCs w:val="23"/>
          <w:lang w:eastAsia="fr-BE"/>
        </w:rPr>
        <w:t> </w:t>
      </w:r>
    </w:p>
    <w:p w14:paraId="08B6A146" w14:textId="77777777" w:rsidR="003B7CF9" w:rsidRPr="003B7CF9" w:rsidRDefault="003B7CF9" w:rsidP="003B7CF9">
      <w:pPr>
        <w:shd w:val="clear" w:color="auto" w:fill="FFFFFF"/>
        <w:spacing w:before="75" w:after="75" w:line="240" w:lineRule="auto"/>
        <w:jc w:val="both"/>
        <w:rPr>
          <w:rFonts w:ascii="Verdana" w:eastAsia="Times New Roman" w:hAnsi="Verdana" w:cs="Times New Roman"/>
          <w:color w:val="000000"/>
          <w:sz w:val="23"/>
          <w:szCs w:val="23"/>
          <w:lang w:eastAsia="fr-BE"/>
        </w:rPr>
      </w:pPr>
      <w:r w:rsidRPr="003B7CF9">
        <w:rPr>
          <w:rFonts w:ascii="Verdana" w:eastAsia="Times New Roman" w:hAnsi="Verdana" w:cs="Times New Roman"/>
          <w:b/>
          <w:bCs/>
          <w:color w:val="A52A2A"/>
          <w:sz w:val="23"/>
          <w:szCs w:val="23"/>
          <w:lang w:eastAsia="fr-BE"/>
        </w:rPr>
        <w:t>Cuivre : c’est mieux, mais...</w:t>
      </w:r>
    </w:p>
    <w:p w14:paraId="6155AAC2" w14:textId="77777777" w:rsidR="003B7CF9" w:rsidRPr="003B7CF9" w:rsidRDefault="003B7CF9" w:rsidP="003B7CF9">
      <w:pPr>
        <w:shd w:val="clear" w:color="auto" w:fill="FFFFFF"/>
        <w:spacing w:before="75" w:after="75" w:line="240" w:lineRule="auto"/>
        <w:jc w:val="both"/>
        <w:rPr>
          <w:rFonts w:ascii="Verdana" w:eastAsia="Times New Roman" w:hAnsi="Verdana" w:cs="Times New Roman"/>
          <w:color w:val="000000"/>
          <w:sz w:val="23"/>
          <w:szCs w:val="23"/>
          <w:lang w:eastAsia="fr-BE"/>
        </w:rPr>
      </w:pPr>
      <w:r w:rsidRPr="003B7CF9">
        <w:rPr>
          <w:rFonts w:ascii="Verdana" w:eastAsia="Times New Roman" w:hAnsi="Verdana" w:cs="Times New Roman"/>
          <w:color w:val="000000"/>
          <w:sz w:val="23"/>
          <w:szCs w:val="23"/>
          <w:lang w:eastAsia="fr-BE"/>
        </w:rPr>
        <w:t xml:space="preserve">Côté cuivre, si le marché apprécie la hausse de la production industrielle chinoise, il s’inquiète aussi du tassement de l’activité dans le secteur immobilier, gros consommateur de métal rouge. Toutefois, les craintes de ralentissement en Chine sont contrebalancées par le fait que le gouvernement prendrait sans doute des mesures pour soutenir la croissance, si nécessaire, estime Daniel </w:t>
      </w:r>
      <w:proofErr w:type="spellStart"/>
      <w:r w:rsidRPr="003B7CF9">
        <w:rPr>
          <w:rFonts w:ascii="Verdana" w:eastAsia="Times New Roman" w:hAnsi="Verdana" w:cs="Times New Roman"/>
          <w:color w:val="000000"/>
          <w:sz w:val="23"/>
          <w:szCs w:val="23"/>
          <w:lang w:eastAsia="fr-BE"/>
        </w:rPr>
        <w:t>Briesemann</w:t>
      </w:r>
      <w:proofErr w:type="spellEnd"/>
      <w:r w:rsidRPr="003B7CF9">
        <w:rPr>
          <w:rFonts w:ascii="Verdana" w:eastAsia="Times New Roman" w:hAnsi="Verdana" w:cs="Times New Roman"/>
          <w:color w:val="000000"/>
          <w:sz w:val="23"/>
          <w:szCs w:val="23"/>
          <w:lang w:eastAsia="fr-BE"/>
        </w:rPr>
        <w:t>, analyste chez Commerzbank. D’après lui, le métal rouge devrait se raffermir dans les 10 ans à venir, sur fond de demande en hausse et d’offre insuffisante. «</w:t>
      </w:r>
      <w:r w:rsidRPr="003B7CF9">
        <w:rPr>
          <w:rFonts w:ascii="Verdana" w:eastAsia="Times New Roman" w:hAnsi="Verdana" w:cs="Times New Roman"/>
          <w:i/>
          <w:iCs/>
          <w:color w:val="000000"/>
          <w:sz w:val="23"/>
          <w:szCs w:val="23"/>
          <w:lang w:eastAsia="fr-BE"/>
        </w:rPr>
        <w:t> Le marché du cuivre s’oriente vers un déficit structurel dans les années à venir, mais pas dans les prochains mois</w:t>
      </w:r>
      <w:r w:rsidRPr="003B7CF9">
        <w:rPr>
          <w:rFonts w:ascii="Verdana" w:eastAsia="Times New Roman" w:hAnsi="Verdana" w:cs="Times New Roman"/>
          <w:color w:val="000000"/>
          <w:sz w:val="23"/>
          <w:szCs w:val="23"/>
          <w:lang w:eastAsia="fr-BE"/>
        </w:rPr>
        <w:t> », prévoit l’analyste.</w:t>
      </w:r>
    </w:p>
    <w:p w14:paraId="2E84B463" w14:textId="77777777" w:rsidR="003B7CF9" w:rsidRPr="003B7CF9" w:rsidRDefault="003B7CF9" w:rsidP="003B7CF9">
      <w:pPr>
        <w:shd w:val="clear" w:color="auto" w:fill="FFFFFF"/>
        <w:spacing w:before="75" w:after="75" w:line="240" w:lineRule="auto"/>
        <w:jc w:val="both"/>
        <w:rPr>
          <w:rFonts w:ascii="Verdana" w:eastAsia="Times New Roman" w:hAnsi="Verdana" w:cs="Times New Roman"/>
          <w:color w:val="000000"/>
          <w:sz w:val="23"/>
          <w:szCs w:val="23"/>
          <w:lang w:eastAsia="fr-BE"/>
        </w:rPr>
      </w:pPr>
      <w:r w:rsidRPr="003B7CF9">
        <w:rPr>
          <w:rFonts w:ascii="Verdana" w:eastAsia="Times New Roman" w:hAnsi="Verdana" w:cs="Times New Roman"/>
          <w:color w:val="000000"/>
          <w:sz w:val="23"/>
          <w:szCs w:val="23"/>
          <w:lang w:eastAsia="fr-BE"/>
        </w:rPr>
        <w:t>A Londres comme à Shanghai, le faible niveau des stocks offre un plancher aux cours et a permis aux deux contrats de terminer la semaine dans le vert. « </w:t>
      </w:r>
      <w:r w:rsidRPr="003B7CF9">
        <w:rPr>
          <w:rFonts w:ascii="Verdana" w:eastAsia="Times New Roman" w:hAnsi="Verdana" w:cs="Times New Roman"/>
          <w:i/>
          <w:iCs/>
          <w:color w:val="000000"/>
          <w:sz w:val="23"/>
          <w:szCs w:val="23"/>
          <w:lang w:eastAsia="fr-BE"/>
        </w:rPr>
        <w:t xml:space="preserve">Avec les attentes de hausse des taux qui interviennent en même temps que l’accord sur le plan d’infrastructures, dans un contexte de tensions sur </w:t>
      </w:r>
      <w:r w:rsidRPr="003B7CF9">
        <w:rPr>
          <w:rFonts w:ascii="Verdana" w:eastAsia="Times New Roman" w:hAnsi="Verdana" w:cs="Times New Roman"/>
          <w:i/>
          <w:iCs/>
          <w:color w:val="000000"/>
          <w:sz w:val="23"/>
          <w:szCs w:val="23"/>
          <w:lang w:eastAsia="fr-BE"/>
        </w:rPr>
        <w:lastRenderedPageBreak/>
        <w:t>l’approvisionnement, il est possible que les investisseurs adoptent une attitude attentiste </w:t>
      </w:r>
      <w:r w:rsidRPr="003B7CF9">
        <w:rPr>
          <w:rFonts w:ascii="Verdana" w:eastAsia="Times New Roman" w:hAnsi="Verdana" w:cs="Times New Roman"/>
          <w:color w:val="000000"/>
          <w:sz w:val="23"/>
          <w:szCs w:val="23"/>
          <w:lang w:eastAsia="fr-BE"/>
        </w:rPr>
        <w:t>», ont averti les investisseurs de GF Futures.</w:t>
      </w:r>
    </w:p>
    <w:p w14:paraId="340900A0" w14:textId="77777777" w:rsidR="003B7CF9" w:rsidRPr="003B7CF9" w:rsidRDefault="003B7CF9" w:rsidP="003B7CF9">
      <w:pPr>
        <w:shd w:val="clear" w:color="auto" w:fill="FFFFFF"/>
        <w:spacing w:before="75" w:after="75" w:line="240" w:lineRule="auto"/>
        <w:jc w:val="both"/>
        <w:rPr>
          <w:rFonts w:ascii="Verdana" w:eastAsia="Times New Roman" w:hAnsi="Verdana" w:cs="Times New Roman"/>
          <w:color w:val="000000"/>
          <w:sz w:val="23"/>
          <w:szCs w:val="23"/>
          <w:lang w:eastAsia="fr-BE"/>
        </w:rPr>
      </w:pPr>
      <w:r w:rsidRPr="003B7CF9">
        <w:rPr>
          <w:rFonts w:ascii="Verdana" w:eastAsia="Times New Roman" w:hAnsi="Verdana" w:cs="Times New Roman"/>
          <w:color w:val="000000"/>
          <w:sz w:val="23"/>
          <w:szCs w:val="23"/>
          <w:lang w:eastAsia="fr-BE"/>
        </w:rPr>
        <w:t xml:space="preserve">Par ailleurs, les consommateurs chinois de </w:t>
      </w:r>
      <w:proofErr w:type="spellStart"/>
      <w:r w:rsidRPr="003B7CF9">
        <w:rPr>
          <w:rFonts w:ascii="Verdana" w:eastAsia="Times New Roman" w:hAnsi="Verdana" w:cs="Times New Roman"/>
          <w:color w:val="000000"/>
          <w:sz w:val="23"/>
          <w:szCs w:val="23"/>
          <w:lang w:eastAsia="fr-BE"/>
        </w:rPr>
        <w:t>Codelco</w:t>
      </w:r>
      <w:proofErr w:type="spellEnd"/>
      <w:r w:rsidRPr="003B7CF9">
        <w:rPr>
          <w:rFonts w:ascii="Verdana" w:eastAsia="Times New Roman" w:hAnsi="Verdana" w:cs="Times New Roman"/>
          <w:color w:val="000000"/>
          <w:sz w:val="23"/>
          <w:szCs w:val="23"/>
          <w:lang w:eastAsia="fr-BE"/>
        </w:rPr>
        <w:t xml:space="preserve"> se montrent réticents à signer les contrats de 2022, dont la prime est au plus haut depuis 7 ans, en raison du niveau élevé de la </w:t>
      </w:r>
      <w:proofErr w:type="spellStart"/>
      <w:r w:rsidRPr="003B7CF9">
        <w:rPr>
          <w:rFonts w:ascii="Verdana" w:eastAsia="Times New Roman" w:hAnsi="Verdana" w:cs="Times New Roman"/>
          <w:color w:val="000000"/>
          <w:sz w:val="23"/>
          <w:szCs w:val="23"/>
          <w:lang w:eastAsia="fr-BE"/>
        </w:rPr>
        <w:t>backwardation</w:t>
      </w:r>
      <w:proofErr w:type="spellEnd"/>
      <w:r w:rsidRPr="003B7CF9">
        <w:rPr>
          <w:rFonts w:ascii="Verdana" w:eastAsia="Times New Roman" w:hAnsi="Verdana" w:cs="Times New Roman"/>
          <w:color w:val="000000"/>
          <w:sz w:val="23"/>
          <w:szCs w:val="23"/>
          <w:lang w:eastAsia="fr-BE"/>
        </w:rPr>
        <w:t xml:space="preserve"> (écart entre le cours comptant et le cours 3 mois), ont indiqué des sources concordantes. Sur une semaine, le métal rouge reste globalement stable, autour des 9.660 dollars.</w:t>
      </w:r>
    </w:p>
    <w:p w14:paraId="5869B89D" w14:textId="77777777" w:rsidR="003B7CF9" w:rsidRPr="003B7CF9" w:rsidRDefault="003B7CF9" w:rsidP="003B7CF9">
      <w:pPr>
        <w:shd w:val="clear" w:color="auto" w:fill="FFFFFF"/>
        <w:spacing w:before="75" w:after="75" w:line="240" w:lineRule="auto"/>
        <w:jc w:val="both"/>
        <w:rPr>
          <w:rFonts w:ascii="Verdana" w:eastAsia="Times New Roman" w:hAnsi="Verdana" w:cs="Times New Roman"/>
          <w:color w:val="000000"/>
          <w:sz w:val="23"/>
          <w:szCs w:val="23"/>
          <w:lang w:eastAsia="fr-BE"/>
        </w:rPr>
      </w:pPr>
      <w:r w:rsidRPr="003B7CF9">
        <w:rPr>
          <w:rFonts w:ascii="Verdana" w:eastAsia="Times New Roman" w:hAnsi="Verdana" w:cs="Times New Roman"/>
          <w:color w:val="000000"/>
          <w:sz w:val="23"/>
          <w:szCs w:val="23"/>
          <w:lang w:eastAsia="fr-BE"/>
        </w:rPr>
        <w:t>Les autres métaux évoluent également à la marge d’un mardi l’autre. Le zinc abandonne tout de même une centaine de dollars, à 3.200 dollars ce mardi. Le plomb en cède 60, à 2.320 dollars. Le nickel évolue à la marge, à 19.650 dollars (+25) ; tandis que l’étain gagne 60 dollars, à 37.460 dollars.</w:t>
      </w:r>
    </w:p>
    <w:p w14:paraId="6ADC4B9B" w14:textId="77777777" w:rsidR="008654D3" w:rsidRDefault="008654D3"/>
    <w:sectPr w:rsidR="008654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CF9"/>
    <w:rsid w:val="00086BC8"/>
    <w:rsid w:val="003B7CF9"/>
    <w:rsid w:val="00633CB8"/>
    <w:rsid w:val="008654D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6571"/>
  <w15:chartTrackingRefBased/>
  <w15:docId w15:val="{AF7C1908-2632-4123-A604-3B5B1805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18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591</Words>
  <Characters>3254</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2</cp:revision>
  <dcterms:created xsi:type="dcterms:W3CDTF">2021-11-16T11:09:00Z</dcterms:created>
  <dcterms:modified xsi:type="dcterms:W3CDTF">2021-11-16T11:10:00Z</dcterms:modified>
</cp:coreProperties>
</file>